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3D" w:rsidRDefault="007A3E3D" w:rsidP="00093EB2">
      <w:pPr>
        <w:rPr>
          <w:b/>
          <w:sz w:val="28"/>
          <w:szCs w:val="28"/>
          <w:u w:val="single"/>
        </w:rPr>
      </w:pPr>
      <w:r w:rsidRPr="00093EB2">
        <w:rPr>
          <w:b/>
          <w:sz w:val="28"/>
          <w:szCs w:val="28"/>
          <w:u w:val="single"/>
        </w:rPr>
        <w:t>ILUSTRATIVNI OBRAZAC</w:t>
      </w:r>
    </w:p>
    <w:p w:rsidR="007A3E3D" w:rsidRPr="00605576" w:rsidRDefault="007A3E3D" w:rsidP="004F22EC">
      <w:pPr>
        <w:jc w:val="center"/>
        <w:rPr>
          <w:b/>
          <w:sz w:val="28"/>
          <w:szCs w:val="28"/>
        </w:rPr>
      </w:pPr>
      <w:r w:rsidRPr="00605576">
        <w:rPr>
          <w:b/>
          <w:sz w:val="28"/>
          <w:szCs w:val="28"/>
        </w:rPr>
        <w:t xml:space="preserve">SADRŽAJ PREDSTUDIJE ILI STUDIJE OPRAVDANOSTI </w:t>
      </w:r>
    </w:p>
    <w:p w:rsidR="007A3E3D" w:rsidRDefault="007A3E3D" w:rsidP="004F22EC">
      <w:pPr>
        <w:jc w:val="center"/>
        <w:rPr>
          <w:b/>
        </w:rPr>
      </w:pPr>
      <w:r>
        <w:rPr>
          <w:b/>
        </w:rPr>
        <w:t>ZA INVESTICIONE PROJEKTE JAVNOG SEKTORA I PROJEKTE JAVNO-PRIVATNOG PARTNERSTVA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"/>
        <w:gridCol w:w="2986"/>
        <w:gridCol w:w="6012"/>
      </w:tblGrid>
      <w:tr w:rsidR="007A3E3D" w:rsidRPr="00DC00E1" w:rsidTr="00DC00E1">
        <w:trPr>
          <w:tblHeader/>
        </w:trPr>
        <w:tc>
          <w:tcPr>
            <w:tcW w:w="495" w:type="dxa"/>
            <w:shd w:val="clear" w:color="auto" w:fill="2F5496"/>
          </w:tcPr>
          <w:p w:rsidR="007A3E3D" w:rsidRPr="00DC00E1" w:rsidRDefault="007A3E3D" w:rsidP="00DC00E1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2986" w:type="dxa"/>
            <w:shd w:val="clear" w:color="auto" w:fill="2F5496"/>
          </w:tcPr>
          <w:p w:rsidR="007A3E3D" w:rsidRPr="00DC00E1" w:rsidRDefault="007A3E3D" w:rsidP="00DC00E1">
            <w:pPr>
              <w:spacing w:after="0" w:line="240" w:lineRule="auto"/>
              <w:rPr>
                <w:b/>
                <w:color w:val="FFFFFF"/>
              </w:rPr>
            </w:pPr>
            <w:r w:rsidRPr="00DC00E1">
              <w:rPr>
                <w:b/>
                <w:color w:val="FFFFFF"/>
              </w:rPr>
              <w:t>ODREDBA</w:t>
            </w:r>
          </w:p>
        </w:tc>
        <w:tc>
          <w:tcPr>
            <w:tcW w:w="6012" w:type="dxa"/>
            <w:shd w:val="clear" w:color="auto" w:fill="2F5496"/>
          </w:tcPr>
          <w:p w:rsidR="007A3E3D" w:rsidRPr="00DC00E1" w:rsidRDefault="007A3E3D" w:rsidP="00DC00E1">
            <w:pPr>
              <w:spacing w:after="0" w:line="240" w:lineRule="auto"/>
              <w:rPr>
                <w:b/>
                <w:color w:val="FFFFFF"/>
              </w:rPr>
            </w:pPr>
            <w:r w:rsidRPr="00DC00E1">
              <w:rPr>
                <w:b/>
                <w:color w:val="FFFFFF"/>
              </w:rPr>
              <w:t>SADRŽAJ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1.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Opći podaci o javnom tijelu</w:t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DC00E1">
              <w:t xml:space="preserve">Puni naziv; vrsta javnog tijela/osnovna djelatnost, JIB, adresa, kontakt podaci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DC00E1">
              <w:t xml:space="preserve">Kontakt osoba za projekat ispred javnog tijela </w:t>
            </w:r>
            <w:r w:rsidRPr="00DC00E1">
              <w:rPr>
                <w:sz w:val="20"/>
                <w:szCs w:val="20"/>
              </w:rPr>
              <w:t>(ime i prezime, funkcija, kontakt podaci)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2.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Opis projekta</w:t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C00E1">
              <w:t>Naziv projekta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C00E1">
              <w:t xml:space="preserve">Svrha ili misija javnog projekta </w:t>
            </w:r>
            <w:r w:rsidRPr="00DC00E1">
              <w:rPr>
                <w:sz w:val="20"/>
                <w:szCs w:val="20"/>
              </w:rPr>
              <w:t>(osnovna funkcija ili zadatak koji projekat treba ostvariti)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C00E1">
              <w:t xml:space="preserve">Predmet projekta </w:t>
            </w:r>
            <w:r w:rsidRPr="00DC00E1">
              <w:rPr>
                <w:sz w:val="20"/>
                <w:szCs w:val="20"/>
              </w:rPr>
              <w:t>(opis usluge/a koju projekat isporučuje)</w:t>
            </w:r>
            <w:r w:rsidRPr="00DC00E1">
              <w:t xml:space="preserve">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C00E1">
              <w:t>Ciljne grupe projekta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C00E1">
              <w:t>Odnos projekta prema planovima i programima razvoja</w:t>
            </w:r>
            <w:r w:rsidRPr="00DC00E1">
              <w:rPr>
                <w:sz w:val="20"/>
                <w:szCs w:val="20"/>
              </w:rPr>
              <w:t xml:space="preserve"> (Navesti planove i programe razvoja na općinskom i/ili višem nivou u kojima se projekat direktno spominje)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C00E1">
              <w:t xml:space="preserve">Područje društvene odgovornosti </w:t>
            </w:r>
            <w:r w:rsidRPr="00DC00E1">
              <w:rPr>
                <w:sz w:val="20"/>
                <w:szCs w:val="20"/>
              </w:rPr>
              <w:t>(utjecaj projekta u najširem smislu na društvo, kako projekat utiče na stvaranje opće koristi za društvo i na koji će način povećati kvalitetu društvenih odnosa)</w:t>
            </w:r>
            <w:r w:rsidRPr="00DC00E1">
              <w:t xml:space="preserve">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C00E1">
              <w:t xml:space="preserve">Opći i specifični ciljevi projekta  </w:t>
            </w:r>
            <w:r w:rsidRPr="00DC00E1">
              <w:rPr>
                <w:sz w:val="20"/>
                <w:szCs w:val="20"/>
              </w:rPr>
              <w:t>(navesti jedan opći i maksimalno tri specifična cilja)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3.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Osnovni koncept projekta</w:t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DC00E1">
              <w:t xml:space="preserve">Nosilac projekta </w:t>
            </w:r>
            <w:r w:rsidRPr="00DC00E1">
              <w:rPr>
                <w:sz w:val="20"/>
                <w:szCs w:val="20"/>
              </w:rPr>
              <w:t>(u slučaju da se kao model implementacije projekta razmatra model javno-privatnog partnera, ovdje je potrebno prezentirati prijedlog funkcija koje bi obavljao javni partner i funkcija koje bi imao privatni partner)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DC00E1">
              <w:t xml:space="preserve">Opis očekivanih standarda krajnje usluge – </w:t>
            </w:r>
            <w:r w:rsidRPr="00DC00E1">
              <w:rPr>
                <w:i/>
              </w:rPr>
              <w:t>output specification</w:t>
            </w:r>
            <w:r w:rsidRPr="00DC00E1">
              <w:t xml:space="preserve"> </w:t>
            </w:r>
            <w:r w:rsidRPr="00DC00E1">
              <w:rPr>
                <w:sz w:val="20"/>
                <w:szCs w:val="20"/>
              </w:rPr>
              <w:t>(nivo kvaliteta, sigurnosti, cijene, raspoloživosti, i sl.)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DC00E1">
              <w:t xml:space="preserve">Potencijalni modeli realizacije </w:t>
            </w:r>
            <w:r w:rsidRPr="00DC00E1">
              <w:rPr>
                <w:sz w:val="20"/>
                <w:szCs w:val="20"/>
              </w:rPr>
              <w:t>(npr. javno (budžetsko) finansiranje, zajedničko ulaganje javnog i privatnog sektora (ortakluk), ulaganje privatnog sektora (prodaja zemljišta ili pravo građenja), javno-privatno partnerstvo (ugovorni ili statusni model))</w:t>
            </w:r>
            <w:r w:rsidRPr="00DC00E1">
              <w:t xml:space="preserve">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DC00E1">
              <w:t xml:space="preserve">Vremenske odrednice projekta </w:t>
            </w:r>
            <w:r w:rsidRPr="00DC00E1">
              <w:rPr>
                <w:sz w:val="20"/>
                <w:szCs w:val="20"/>
              </w:rPr>
              <w:t>(navesti vrijeme planirano za pripremu projekta, izvođenje građevinskih radova, početak realizacije, ukupan očekivani životni vijek projekta)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DC00E1">
              <w:t xml:space="preserve">Glavne aktivnosti i faze projekta </w:t>
            </w:r>
            <w:r w:rsidRPr="00DC00E1">
              <w:rPr>
                <w:sz w:val="20"/>
                <w:szCs w:val="20"/>
              </w:rPr>
              <w:t>(pregled aktivnosti sa identifikacijom uradjenih i potrebnih aktivnosti, npr. identifikacija lokacije, pribavljanje potrebnih dozvola i saglasnosti, izrada studije opravdanosti, odabir modela implementacije, javna nabavka, ugovaranje, građevinska faza, itd.)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DC00E1">
              <w:t xml:space="preserve">Dinamika realizacije sa vremenskim odrednicama </w:t>
            </w:r>
            <w:r w:rsidRPr="00DC00E1">
              <w:rPr>
                <w:sz w:val="20"/>
                <w:szCs w:val="20"/>
              </w:rPr>
              <w:t>(u cijelosti ili u etapama/fazama)</w:t>
            </w:r>
            <w:r w:rsidRPr="00DC00E1">
              <w:t xml:space="preserve">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DC00E1">
              <w:t xml:space="preserve">Okvirna ukupna vrijednost projekta </w:t>
            </w:r>
            <w:r w:rsidRPr="00DC00E1">
              <w:rPr>
                <w:sz w:val="20"/>
                <w:szCs w:val="20"/>
              </w:rPr>
              <w:t>(sa i bez troškova održavanja i upravljanja)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DC00E1">
              <w:t>Ulaganja javnog sektora</w:t>
            </w:r>
            <w:r w:rsidRPr="00DC00E1">
              <w:rPr>
                <w:sz w:val="20"/>
                <w:szCs w:val="20"/>
              </w:rPr>
              <w:t xml:space="preserve"> (navesti dosadašnja i raspoloživa ulaganja javnog sektora te očekivana ulaganja privatnog sektora u slučaju da se kao model implementacije projekta razmatra i JPP. Takodje navesti i opisati eventualna dosadašnja ulaganja privatnog sektora)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4.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Institucionalni i zakonski okvir</w:t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 w:rsidRPr="00DC00E1">
              <w:t xml:space="preserve">Navesti institucije nadležne za navedenu oblast </w:t>
            </w:r>
            <w:r w:rsidRPr="00DC00E1">
              <w:rPr>
                <w:sz w:val="20"/>
                <w:szCs w:val="20"/>
              </w:rPr>
              <w:t>(projekat mora biti u direktnoj nadležnosti javnog tijela koje predlaže projekat, uz koji se navode sve ostale institucije javnog sektora koje će morati biti uključene barem u nekoj fazi projekta)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 w:rsidRPr="00DC00E1">
              <w:t xml:space="preserve">Zakonski propisi kojima se reguliše navedena  oblast </w:t>
            </w:r>
            <w:r w:rsidRPr="00DC00E1">
              <w:rPr>
                <w:sz w:val="20"/>
                <w:szCs w:val="20"/>
              </w:rPr>
              <w:t>(s obzirom da su i projekti javno-privatnog partnerstva model javne nabavke, Zakon o javnim nabavkama je osnovni propis)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 xml:space="preserve">5. 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Lokacija/e i prostorno-urbanistički aspekti</w:t>
            </w:r>
            <w:r w:rsidRPr="00DC00E1">
              <w:rPr>
                <w:rStyle w:val="FootnoteReference"/>
              </w:rPr>
              <w:footnoteReference w:id="1"/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DC00E1">
              <w:t>Kratki opis uslužnog područja i okruženja npr. Općine, Grada i/ili Kantona iz perspektive predmetne javne usluge (stanovništvo, infrastruktura, razvojni planovi, i sl.)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DC00E1">
              <w:t xml:space="preserve">Lokacija/e za realizaciju projekta </w:t>
            </w:r>
            <w:r w:rsidRPr="00DC00E1">
              <w:rPr>
                <w:sz w:val="20"/>
                <w:szCs w:val="20"/>
              </w:rPr>
              <w:t>(broj, adresa, površina, tehnička opremljenost, vlasništvo/imovinsko-pravni status, postojanje ili potreba za pribavljanjem urbanističkih saglasnosti, i druge relevantne informacije vezane za lokaciju/e)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DC00E1">
              <w:t xml:space="preserve">Status građevinske projektna dokumentacija </w:t>
            </w:r>
            <w:r w:rsidRPr="00DC00E1">
              <w:rPr>
                <w:sz w:val="20"/>
                <w:szCs w:val="20"/>
              </w:rPr>
              <w:t>(postojanje idejnog i izvedbenog projekta)</w:t>
            </w:r>
            <w:r w:rsidRPr="00DC00E1">
              <w:t xml:space="preserve">  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6.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Analiza potreba</w:t>
            </w:r>
            <w:r w:rsidRPr="00DC00E1">
              <w:rPr>
                <w:rStyle w:val="FootnoteReference"/>
              </w:rPr>
              <w:footnoteReference w:id="2"/>
            </w:r>
            <w:r w:rsidRPr="00DC00E1">
              <w:t xml:space="preserve"> </w:t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 xml:space="preserve">Prikaz trenutne i projecirane situacije relevantne za projekat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C00E1">
              <w:t xml:space="preserve">Opći indikatori </w:t>
            </w:r>
            <w:r w:rsidRPr="00DC00E1">
              <w:rPr>
                <w:sz w:val="20"/>
                <w:szCs w:val="20"/>
              </w:rPr>
              <w:t>(broj i struktura stanovništva na cjelokupnom i specifičnom uslužnom području, trend rasta/pada broja stanovnika,)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C00E1">
              <w:t xml:space="preserve">Fizički indikatori </w:t>
            </w:r>
            <w:r w:rsidRPr="00DC00E1">
              <w:rPr>
                <w:sz w:val="20"/>
                <w:szCs w:val="20"/>
              </w:rPr>
              <w:t>(pregled postojeće infrastrukture - kapacitet koji je trenutno dostupan, struktura vlasništva, način organizacije i upravljanja predmetnom javnom uslugom, ukupna procjena potrebne izgradnje novih i/ili proširenja postojećih kapaciteta, kapacitet koji bi bilo dodatno kreirao realizacijom projekta)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C00E1">
              <w:t xml:space="preserve">Projektni indikatori </w:t>
            </w:r>
            <w:r w:rsidRPr="00DC00E1">
              <w:rPr>
                <w:sz w:val="20"/>
                <w:szCs w:val="20"/>
              </w:rPr>
              <w:t>(Broj i struktura stanovništva i drugih korisnika usluge nastale realizacijom projekta, % stanovništva na cjelokupnom uslužnom području koje će biti direktni korisnici usluge realizirane projektom)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C00E1">
              <w:t>Mogući scenarij u slučaju da se ne odgovori na postojeću potrebu?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7.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Analiza tržišta</w:t>
            </w:r>
            <w:r w:rsidRPr="00DC00E1">
              <w:rPr>
                <w:rStyle w:val="FootnoteReference"/>
              </w:rPr>
              <w:footnoteReference w:id="3"/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DC00E1">
              <w:t>Analiza dosadašnjeg načina i uslova pružanja predmetne javne usluge na uslužnom području. Osnovni elementi analize:</w:t>
            </w:r>
          </w:p>
          <w:p w:rsidR="007A3E3D" w:rsidRPr="00DC00E1" w:rsidRDefault="007A3E3D" w:rsidP="00DC00E1">
            <w:pPr>
              <w:pStyle w:val="ListParagraph"/>
              <w:numPr>
                <w:ilvl w:val="1"/>
                <w:numId w:val="13"/>
              </w:numPr>
              <w:spacing w:after="0" w:line="240" w:lineRule="auto"/>
            </w:pPr>
            <w:r w:rsidRPr="00DC00E1">
              <w:t xml:space="preserve">Dostupnost – da li je usluga bila fizički dovoljno raspoloživa na uslužnom području? Da li ovu uslugu, pored javnog, pruža i privatni sektor? </w:t>
            </w:r>
            <w:r w:rsidRPr="00DC00E1">
              <w:rPr>
                <w:sz w:val="20"/>
                <w:szCs w:val="20"/>
              </w:rPr>
              <w:t>(U tom slučaju, proširiti analizu i na privatni sektor)</w:t>
            </w:r>
          </w:p>
          <w:p w:rsidR="007A3E3D" w:rsidRPr="00DC00E1" w:rsidRDefault="007A3E3D" w:rsidP="00DC00E1">
            <w:pPr>
              <w:pStyle w:val="ListParagraph"/>
              <w:numPr>
                <w:ilvl w:val="1"/>
                <w:numId w:val="13"/>
              </w:numPr>
              <w:spacing w:after="0" w:line="240" w:lineRule="auto"/>
            </w:pPr>
            <w:r w:rsidRPr="00DC00E1">
              <w:t>Kvalitet – da li je usluga zadovoljavala propisane važeće standarde? Koji su standardi primjenjivani od strane javnog, a koji od strane privatnog sektora?</w:t>
            </w:r>
          </w:p>
          <w:p w:rsidR="007A3E3D" w:rsidRPr="00DC00E1" w:rsidRDefault="007A3E3D" w:rsidP="00DC00E1">
            <w:pPr>
              <w:pStyle w:val="ListParagraph"/>
              <w:numPr>
                <w:ilvl w:val="1"/>
                <w:numId w:val="13"/>
              </w:numPr>
              <w:spacing w:after="0" w:line="240" w:lineRule="auto"/>
            </w:pPr>
            <w:r w:rsidRPr="00DC00E1">
              <w:t xml:space="preserve">Priuštivost – da li je cijena  predmetne usluge bila prilagođena ekonomskom statusu ciljne grupe? Da li je ova usluga subvencionirana iz javnog budžeta i u kojem obimu? Postoji li razlika u cijeni usluge zavisno od toga da li je pružaoc javni ili privatni sektor? </w:t>
            </w:r>
          </w:p>
          <w:p w:rsidR="007A3E3D" w:rsidRPr="00DC00E1" w:rsidRDefault="007A3E3D" w:rsidP="00DC00E1">
            <w:pPr>
              <w:pStyle w:val="ListParagraph"/>
              <w:numPr>
                <w:ilvl w:val="1"/>
                <w:numId w:val="13"/>
              </w:numPr>
              <w:spacing w:after="0" w:line="240" w:lineRule="auto"/>
            </w:pPr>
            <w:r w:rsidRPr="00DC00E1">
              <w:t xml:space="preserve">Prihvatljivost  - da li je način pružanja usluge bio prilagođen opštim i posebnim potrebama ciljne grupe </w:t>
            </w:r>
            <w:r w:rsidRPr="00DC00E1">
              <w:rPr>
                <w:sz w:val="20"/>
                <w:szCs w:val="20"/>
              </w:rPr>
              <w:t>(npr. osobama sa invaliditetom, ženama, starijim osobama, i sl.)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DC00E1">
              <w:t xml:space="preserve">Očekivano unaprjeđenje javne usluge predmetnim projektom </w:t>
            </w:r>
            <w:r w:rsidRPr="00DC00E1">
              <w:rPr>
                <w:sz w:val="20"/>
                <w:szCs w:val="20"/>
              </w:rPr>
              <w:t>(u jednom ili više elemenata gore)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DC00E1">
              <w:t xml:space="preserve">Očekivani nivo tražnje </w:t>
            </w:r>
            <w:r w:rsidRPr="00DC00E1">
              <w:rPr>
                <w:sz w:val="20"/>
                <w:szCs w:val="20"/>
              </w:rPr>
              <w:t>(odrediti i opisati profil i vrstu sadašnjih i budućih kupaca ili korisnika usluge)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DC00E1">
              <w:t xml:space="preserve">Utvrditi interes privatnog sektora za pružanje predmetne javne usluge za konkretan projekat </w:t>
            </w:r>
            <w:r w:rsidRPr="00DC00E1">
              <w:rPr>
                <w:sz w:val="20"/>
                <w:szCs w:val="20"/>
              </w:rPr>
              <w:t>(Javni poziv za iskazivanje interesa, direktna prezentacija projekta privatnom sektoru, web prezentacija, i sl.)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 xml:space="preserve">8. 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Analiza uticaja na rodnu jednakopravnost</w:t>
            </w:r>
            <w:r w:rsidRPr="00DC00E1">
              <w:rPr>
                <w:rStyle w:val="FootnoteReference"/>
              </w:rPr>
              <w:footnoteReference w:id="4"/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0E1">
              <w:t xml:space="preserve">Analiza uticaja na rodnu jednakopravnost je procedura koja osigurava da se efekti pojedinačnog projekta ili politike ne odraze negativno na rodnu jednakopravnost </w:t>
            </w:r>
            <w:r w:rsidRPr="00DC00E1">
              <w:rPr>
                <w:i/>
              </w:rPr>
              <w:t xml:space="preserve">prije početka, u toku i nakon okončanja </w:t>
            </w:r>
            <w:r w:rsidRPr="00DC00E1">
              <w:t xml:space="preserve">projekta. </w:t>
            </w:r>
            <w:r w:rsidRPr="00DC00E1">
              <w:rPr>
                <w:sz w:val="20"/>
                <w:szCs w:val="20"/>
              </w:rPr>
              <w:t xml:space="preserve">(Ova analiza je barem u skraćenom obliku potrebna za sve projekte i politike u okviru studije pred-izvodljivosti, ali se obavezno detaljnije  razrađuje u okviru studije izvodljivosti za projekte pružanja javnih usluga). </w:t>
            </w:r>
          </w:p>
          <w:p w:rsidR="007A3E3D" w:rsidRPr="00DC00E1" w:rsidRDefault="007A3E3D" w:rsidP="00DC00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DC00E1">
              <w:t>Preliminarna provjere rodne relevantnosti (ispitivanje)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DC00E1">
              <w:t>Da li se projekat tiče jedne ili više ciljnih grupa? Hoće li utjecati na svakodnevni život stanovništva?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DC00E1">
              <w:t>Postoje li razlike u načinu korištenja javne usluge koja proističe iz projekta između žena i muškaraca (u pogledu prava, resursa, participacije, vrijednosti i norme koje se odnose na rodnu jedakopravnost) ?</w:t>
            </w:r>
          </w:p>
          <w:p w:rsidR="007A3E3D" w:rsidRPr="00DC00E1" w:rsidRDefault="007A3E3D" w:rsidP="00DC0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  <w:p w:rsidR="007A3E3D" w:rsidRPr="00DC00E1" w:rsidRDefault="007A3E3D" w:rsidP="00DC0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DC00E1">
              <w:t>Ako je odgovor na bilo koje od ova dva pitanja pozitivan, potrebna je detaljnija analiza uticaja na rodnu jednakopravnost.</w:t>
            </w:r>
          </w:p>
          <w:p w:rsidR="007A3E3D" w:rsidRPr="00DC00E1" w:rsidRDefault="007A3E3D" w:rsidP="00DC0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DC00E1">
              <w:t xml:space="preserve">Analiza uticaja na rodnu jednakopravnost </w:t>
            </w:r>
            <w:r w:rsidRPr="00DC00E1">
              <w:rPr>
                <w:sz w:val="20"/>
                <w:szCs w:val="20"/>
              </w:rPr>
              <w:t>(identifikuje nejednakosti između žena i muškaraca vezane za predmetni projekat i predlaže mjere za njihovo otklanjanje i dalju promociju rodne jednakopravnosti)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9.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Analiza sposobnosti plaćanja/preuzimanja dugoročnih obaveza javnog sektora</w:t>
            </w:r>
            <w:r w:rsidRPr="00DC00E1">
              <w:rPr>
                <w:rStyle w:val="FootnoteReference"/>
              </w:rPr>
              <w:footnoteReference w:id="5"/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DC00E1">
              <w:t xml:space="preserve">Utvrditi trenutnu zaduženost naspram zakonskog limita i plan otplate kredita uključujući novi dug koji bi proistekao iz projekta za svo vrijeme trajanja otplate </w:t>
            </w:r>
            <w:r w:rsidRPr="00DC00E1">
              <w:rPr>
                <w:sz w:val="20"/>
                <w:szCs w:val="20"/>
              </w:rPr>
              <w:t>(u skladu sa zakonima koji regulisu ovu oblast, npr. za općine/gradove, javna preduzeca, i sl.)</w:t>
            </w:r>
            <w:r w:rsidRPr="00DC00E1">
              <w:t xml:space="preserve">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DC00E1">
              <w:t xml:space="preserve">Utvrditi trenutni status rashoda koji se pokrivaju iz nenamjenskih prihoda.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DC00E1">
              <w:t xml:space="preserve">Istražiti mogućnost preusmjeravanja sredstava sa rashoda koji nisu od strateške važnosti na pokrivanje dijela troškova vezanih za projekat u svim njegovim fazama uključujući dugoročno održavanje.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DC00E1">
              <w:t>Utvrditi omjer raspoloživih izvora za plaćanje dugoročnih kredita i rashoda koji se plaćaju iz nenamjenskih prihoda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DC00E1">
              <w:t>Izračunati razliku namjenskih prihoda i rashoda kako bi se utvrdio stepen strukturne budžetske neravnoteže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DC00E1">
              <w:t xml:space="preserve">Utvrditi mogućnost izmjene postojećih javnih politika kako bi se utvrdila mogućnost oslobađanja slobodnog novčanog toka iz kojih bi se mogli plaćati dugoročni krediti i rashodi i novi troškovi održavanja koji mogu proisteći iz projekta. 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10.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Finansijsko-ekonomska analiza i utvrđivanje finansijsko-ekonomskih indikatora učinka</w:t>
            </w:r>
            <w:r w:rsidRPr="00DC00E1">
              <w:rPr>
                <w:rStyle w:val="FootnoteReference"/>
              </w:rPr>
              <w:footnoteReference w:id="6"/>
            </w:r>
          </w:p>
          <w:p w:rsidR="007A3E3D" w:rsidRPr="00DC00E1" w:rsidRDefault="007A3E3D" w:rsidP="00DC00E1">
            <w:pPr>
              <w:spacing w:after="0" w:line="240" w:lineRule="auto"/>
            </w:pPr>
          </w:p>
        </w:tc>
        <w:tc>
          <w:tcPr>
            <w:tcW w:w="6012" w:type="dxa"/>
          </w:tcPr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>Ukupni troškovi pripreme (studije, projekti, dozvole, rješavanje imovinskih odnosa itd.)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>Ukupni investicijski troškovi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>Ukupni operativni troškovi i prihodi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 xml:space="preserve">Finansijski povrat investicije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>Ukupni prihodi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>Izvori i troškovi finansiranja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>Diskontna stopa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>Finansijska i ekonomska neto sadašnja vrijednost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>Interna stopa rentabilnosti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 xml:space="preserve">Finansijska održivost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 xml:space="preserve">Finansijski povrat kapitala 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>Konverzija tržišne u računovodstvenu cijenu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>Monetizacija ne-tržišnih učinaka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DC00E1">
              <w:t xml:space="preserve">Indirektni društveni efekti 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11.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  <w:jc w:val="both"/>
            </w:pPr>
            <w:r w:rsidRPr="00DC00E1">
              <w:t>Identifikacija i analiza rizika</w:t>
            </w:r>
            <w:r w:rsidRPr="00DC00E1">
              <w:rPr>
                <w:rStyle w:val="FootnoteReference"/>
              </w:rPr>
              <w:footnoteReference w:id="7"/>
            </w:r>
          </w:p>
          <w:p w:rsidR="007A3E3D" w:rsidRPr="00DC00E1" w:rsidRDefault="007A3E3D" w:rsidP="00DC00E1">
            <w:pPr>
              <w:spacing w:after="0" w:line="240" w:lineRule="auto"/>
              <w:jc w:val="both"/>
            </w:pPr>
          </w:p>
          <w:p w:rsidR="007A3E3D" w:rsidRPr="00DC00E1" w:rsidRDefault="007A3E3D" w:rsidP="00DC00E1">
            <w:pPr>
              <w:spacing w:after="0" w:line="240" w:lineRule="auto"/>
              <w:jc w:val="both"/>
            </w:pPr>
          </w:p>
        </w:tc>
        <w:tc>
          <w:tcPr>
            <w:tcW w:w="6012" w:type="dxa"/>
          </w:tcPr>
          <w:p w:rsidR="007A3E3D" w:rsidRPr="00DC00E1" w:rsidRDefault="007A3E3D" w:rsidP="00DC00E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</w:pPr>
            <w:r w:rsidRPr="00DC00E1">
              <w:t>Analiza osjetljivosti projekta se sastoji od faza: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DC00E1">
              <w:t>Definisanje kritičnih parametara projekta (npr. obim prodaje, pruženih usluga, prodajne cijene po jedinici)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DC00E1">
              <w:t>Određivanje intervala mogućih kretanja vrijednosti kritičnih parametara u budućnosti,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DC00E1">
              <w:t>Određivanje vjerovatnih vrijednosti kritičnih parametara,</w:t>
            </w:r>
          </w:p>
          <w:p w:rsidR="007A3E3D" w:rsidRPr="00DC00E1" w:rsidRDefault="007A3E3D" w:rsidP="00DC00E1">
            <w:pPr>
              <w:spacing w:after="0" w:line="240" w:lineRule="auto"/>
              <w:jc w:val="both"/>
            </w:pPr>
            <w:r w:rsidRPr="00DC00E1">
              <w:t>Ocjena projekta uz primjenu vjerovatnih vrijednosti kritičnih parametara na ovaj način mjeri se individualni rizik, odnosno određuje se stepen rizika.</w:t>
            </w:r>
            <w:r w:rsidRPr="00DC00E1">
              <w:rPr>
                <w:sz w:val="20"/>
                <w:szCs w:val="20"/>
              </w:rPr>
              <w:t xml:space="preserve"> (identifikacija potencijalnih rizika, dovoljno za fazu izrade studije pred-izvodljivosti, dok se studija izvodljivosti detaljno upušta u kvantificiranje i alokaciju)</w:t>
            </w:r>
          </w:p>
          <w:p w:rsidR="007A3E3D" w:rsidRPr="00DC00E1" w:rsidRDefault="007A3E3D" w:rsidP="00DC00E1">
            <w:pPr>
              <w:spacing w:after="0" w:line="240" w:lineRule="auto"/>
              <w:ind w:left="360"/>
              <w:jc w:val="both"/>
            </w:pPr>
            <w:r w:rsidRPr="00DC00E1">
              <w:t>Ključni rizici koji se razmatraju: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0E1">
              <w:t xml:space="preserve">Rizici vezani uz proces pokretanja projekta </w:t>
            </w:r>
            <w:r w:rsidRPr="00DC00E1">
              <w:rPr>
                <w:sz w:val="20"/>
                <w:szCs w:val="20"/>
              </w:rPr>
              <w:t>(rizik definicije i specifikacije projektnog cilja, standarda usluge i projektnog menadžmenta)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0E1">
              <w:t xml:space="preserve">Rizici vezani uz proces izgradnje </w:t>
            </w:r>
            <w:r w:rsidRPr="00DC00E1">
              <w:rPr>
                <w:sz w:val="20"/>
                <w:szCs w:val="20"/>
              </w:rPr>
              <w:t>(rizik projektiranja, rizik troškova izgradnje, rizik završetka izgradnje)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0E1">
              <w:t xml:space="preserve">Rizici vezani uz proces održavanja i zamjene </w:t>
            </w:r>
            <w:r w:rsidRPr="00DC00E1">
              <w:rPr>
                <w:sz w:val="20"/>
                <w:szCs w:val="20"/>
              </w:rPr>
              <w:t>(tehnološki rizik, rizik nabavke sirovina, rizik operativnih troškova sa upravljačkom komponentom)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0E1">
              <w:t xml:space="preserve">Rizici vezani uz ostvarivanje prihoda </w:t>
            </w:r>
            <w:r w:rsidRPr="00DC00E1">
              <w:rPr>
                <w:sz w:val="20"/>
                <w:szCs w:val="20"/>
              </w:rPr>
              <w:t>(rizik potražnje, rizik cijena)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0E1">
              <w:t xml:space="preserve">Rizici vezani uz izvore finansiranja projekat </w:t>
            </w:r>
            <w:r w:rsidRPr="00DC00E1">
              <w:rPr>
                <w:sz w:val="20"/>
                <w:szCs w:val="20"/>
              </w:rPr>
              <w:t>(finansijski rizik iz odnosa fiksnih i varijabilnih troškova, rizik kamatne stope, valutni rizik)</w:t>
            </w:r>
          </w:p>
          <w:p w:rsidR="007A3E3D" w:rsidRPr="00DC00E1" w:rsidRDefault="007A3E3D" w:rsidP="00DC00E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C00E1">
              <w:t xml:space="preserve">Ostali rizici </w:t>
            </w:r>
            <w:r w:rsidRPr="00DC00E1">
              <w:rPr>
                <w:sz w:val="20"/>
                <w:szCs w:val="20"/>
              </w:rPr>
              <w:t>(pravni rizik, politički rizik, ekološki rizik, force majeure, i sl.)</w:t>
            </w:r>
            <w:r w:rsidRPr="00DC00E1">
              <w:t xml:space="preserve"> 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12.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Analize uticaja na životnu sredinu</w:t>
            </w:r>
            <w:r w:rsidRPr="00DC00E1">
              <w:rPr>
                <w:rStyle w:val="FootnoteReference"/>
              </w:rPr>
              <w:footnoteReference w:id="8"/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spacing w:after="0" w:line="240" w:lineRule="auto"/>
              <w:jc w:val="both"/>
            </w:pPr>
            <w:r w:rsidRPr="00DC00E1">
              <w:t xml:space="preserve">Analiza uticaja na životnu sredinu je procedura koja osigurava da se efekti pojedinačnog projekta ili politike ne odraze negativno na okoliš </w:t>
            </w:r>
            <w:r w:rsidRPr="00DC00E1">
              <w:rPr>
                <w:i/>
              </w:rPr>
              <w:t xml:space="preserve">prije početka, u toku i nakon okončanja </w:t>
            </w:r>
            <w:r w:rsidRPr="00DC00E1">
              <w:t xml:space="preserve">projekta. </w:t>
            </w:r>
            <w:r w:rsidRPr="00DC00E1">
              <w:rPr>
                <w:sz w:val="20"/>
                <w:szCs w:val="20"/>
              </w:rPr>
              <w:t xml:space="preserve">(Ova analiza je barem u skraćenom obliku potrebna za sve projekte i politike u okviru studije pred-izvodljivosti, ali se obavezno i detaljno  izrađuje u okviru studije izvodljivosti za objekte i radove iz oblasti industrije, rudarstva, energetike, saobraćaja, turizma, poljoprivrede, šumarstva, vodoprivrede i komunalne djelatnosti, kao i za sve vrste objekata i radova na zaštićenom prirodnom dobru i u zaštitnoj zoni nepokretnog kulturnog dobra.) 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13.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Analiza alternativnih pristupa i izlaznih rješenja</w:t>
            </w:r>
            <w:r w:rsidRPr="00DC00E1">
              <w:rPr>
                <w:rStyle w:val="FootnoteReference"/>
              </w:rPr>
              <w:footnoteReference w:id="9"/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spacing w:after="0" w:line="240" w:lineRule="auto"/>
              <w:jc w:val="both"/>
            </w:pPr>
            <w:r w:rsidRPr="00DC00E1">
              <w:t xml:space="preserve">Formulisanje alternativih pristupa, njihova analiza, formulisanje izlaznih rješenja ukoliko se dese faktori  van uticaja partnera. </w:t>
            </w:r>
            <w:r w:rsidRPr="00DC00E1">
              <w:rPr>
                <w:sz w:val="20"/>
                <w:szCs w:val="20"/>
              </w:rPr>
              <w:t>(identifikacija alternativa i rješenja je dovoljna za fazu izrade studije pred-izvodljivosti, dok se studija izvodljivosti detaljno upušta u analizu i prijedloge)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14.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Analiza vrijednosti za novac (Komparator troškova javnog sektora</w:t>
            </w:r>
            <w:r w:rsidRPr="00DC00E1">
              <w:rPr>
                <w:rStyle w:val="FootnoteReference"/>
              </w:rPr>
              <w:footnoteReference w:id="10"/>
            </w:r>
            <w:r w:rsidRPr="00DC00E1">
              <w:t>)</w:t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 xml:space="preserve">Prikazati model projekta koji bi se realizovao javno-privatnim partnerstvom i uporediti ga sa modelom koji bi realizovao klasičnim (budžetskim) oblikom finansiranja. </w:t>
            </w:r>
          </w:p>
        </w:tc>
      </w:tr>
      <w:tr w:rsidR="007A3E3D" w:rsidRPr="00DC00E1" w:rsidTr="00DC00E1">
        <w:tc>
          <w:tcPr>
            <w:tcW w:w="495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15.</w:t>
            </w:r>
          </w:p>
        </w:tc>
        <w:tc>
          <w:tcPr>
            <w:tcW w:w="2986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>Zaključak o opravdanosti investicije</w:t>
            </w:r>
            <w:r w:rsidRPr="00DC00E1">
              <w:rPr>
                <w:rStyle w:val="FootnoteReference"/>
              </w:rPr>
              <w:footnoteReference w:id="11"/>
            </w:r>
          </w:p>
        </w:tc>
        <w:tc>
          <w:tcPr>
            <w:tcW w:w="6012" w:type="dxa"/>
          </w:tcPr>
          <w:p w:rsidR="007A3E3D" w:rsidRPr="00DC00E1" w:rsidRDefault="007A3E3D" w:rsidP="00DC00E1">
            <w:pPr>
              <w:spacing w:after="0" w:line="240" w:lineRule="auto"/>
            </w:pPr>
            <w:r w:rsidRPr="00DC00E1">
              <w:t xml:space="preserve">Zbirna ocjena opravdanosti investicije, prijedlog najoptimalnijeg modela implementacije, obrazloženje ocjene, stepen pouzdanosti ocjene, rezime studije opravdanosti potpisanu od strane odgovornog lica predlagača. </w:t>
            </w:r>
          </w:p>
        </w:tc>
      </w:tr>
    </w:tbl>
    <w:p w:rsidR="007A3E3D" w:rsidRDefault="007A3E3D"/>
    <w:p w:rsidR="007A3E3D" w:rsidRPr="002D5AD8" w:rsidRDefault="007A3E3D">
      <w:pPr>
        <w:rPr>
          <w:b/>
        </w:rPr>
      </w:pPr>
      <w:r w:rsidRPr="002D5AD8">
        <w:rPr>
          <w:b/>
        </w:rPr>
        <w:t>BIBLIOGRAFIJA</w:t>
      </w:r>
    </w:p>
    <w:p w:rsidR="007A3E3D" w:rsidRDefault="007A3E3D" w:rsidP="00F41E47">
      <w:pPr>
        <w:pStyle w:val="FootnoteText"/>
        <w:jc w:val="both"/>
        <w:rPr>
          <w:sz w:val="22"/>
          <w:szCs w:val="22"/>
        </w:rPr>
      </w:pPr>
      <w:r w:rsidRPr="00605576">
        <w:rPr>
          <w:sz w:val="22"/>
          <w:szCs w:val="22"/>
        </w:rPr>
        <w:t>Agencija za javno-privatno partnerstvo Republike Hrvatske (2012), Komparator troškova javnog sektora, Priručnici za pripremu i provedbu modela javno-privatnog partnerstva, Priručnik br. 3, Verzija 1, Zagreb</w:t>
      </w:r>
    </w:p>
    <w:p w:rsidR="007A3E3D" w:rsidRPr="00605576" w:rsidRDefault="007A3E3D" w:rsidP="00F41E47">
      <w:pPr>
        <w:pStyle w:val="FootnoteText"/>
        <w:jc w:val="both"/>
        <w:rPr>
          <w:sz w:val="22"/>
          <w:szCs w:val="22"/>
        </w:rPr>
      </w:pPr>
    </w:p>
    <w:p w:rsidR="007A3E3D" w:rsidRDefault="007A3E3D" w:rsidP="00F41E47">
      <w:pPr>
        <w:pStyle w:val="FootnoteText"/>
        <w:jc w:val="both"/>
        <w:rPr>
          <w:sz w:val="22"/>
          <w:szCs w:val="22"/>
        </w:rPr>
      </w:pPr>
      <w:r w:rsidRPr="002D5AD8">
        <w:rPr>
          <w:sz w:val="22"/>
          <w:szCs w:val="22"/>
        </w:rPr>
        <w:t>Agencija za javno-privatno partnerstvo Republike Hrvatske (2012), Rizici u projektima javno-privatnog partnerstva (identifikacija, kvantifikacija, alokacija), Priručnici za pripremu i provedbu modela javno-privatnog partnerstva, Priručnik br. 8, Verzija 2, Zagreb</w:t>
      </w:r>
    </w:p>
    <w:p w:rsidR="007A3E3D" w:rsidRPr="002D5AD8" w:rsidRDefault="007A3E3D" w:rsidP="00F41E47">
      <w:pPr>
        <w:pStyle w:val="FootnoteText"/>
        <w:jc w:val="both"/>
        <w:rPr>
          <w:sz w:val="22"/>
          <w:szCs w:val="22"/>
        </w:rPr>
      </w:pPr>
    </w:p>
    <w:p w:rsidR="007A3E3D" w:rsidRDefault="007A3E3D" w:rsidP="00F41E47">
      <w:pPr>
        <w:jc w:val="both"/>
      </w:pPr>
      <w:r w:rsidRPr="007C1865">
        <w:t>Agencija</w:t>
      </w:r>
      <w:r>
        <w:t xml:space="preserve"> za javno-privatno partnerstvo Republike Hrvatske (2012), </w:t>
      </w:r>
      <w:r>
        <w:rPr>
          <w:i/>
        </w:rPr>
        <w:t xml:space="preserve">Utvrđivanje sposobnosti plaćanja JLPRS u projektima javno-privatnog </w:t>
      </w:r>
      <w:r w:rsidRPr="001A11EB">
        <w:t>partnerstva</w:t>
      </w:r>
      <w:r>
        <w:t xml:space="preserve">, </w:t>
      </w:r>
      <w:r w:rsidRPr="001A11EB">
        <w:t>Priručnici za pripremu i provedbu modela javno-privatnog partnerstva</w:t>
      </w:r>
      <w:r>
        <w:t>, Priručnik br. 5, Verzija 1, Zagreb</w:t>
      </w:r>
    </w:p>
    <w:p w:rsidR="007A3E3D" w:rsidRPr="002D5AD8" w:rsidRDefault="007A3E3D" w:rsidP="00F41E47">
      <w:pPr>
        <w:jc w:val="both"/>
        <w:rPr>
          <w:i/>
        </w:rPr>
      </w:pPr>
      <w:r w:rsidRPr="002D5AD8">
        <w:t xml:space="preserve">Burnett, M. (2007) </w:t>
      </w:r>
      <w:r w:rsidRPr="002D5AD8">
        <w:rPr>
          <w:i/>
        </w:rPr>
        <w:t>Public-Private Partnerships (PPP): A Decision Maker's Guide</w:t>
      </w:r>
      <w:r w:rsidRPr="002D5AD8">
        <w:t xml:space="preserve">, Maastricht: </w:t>
      </w:r>
      <w:r w:rsidRPr="002D5AD8">
        <w:rPr>
          <w:i/>
        </w:rPr>
        <w:t>European Institute of Public Administration</w:t>
      </w:r>
    </w:p>
    <w:p w:rsidR="007A3E3D" w:rsidRDefault="007A3E3D" w:rsidP="00F41E47">
      <w:pPr>
        <w:jc w:val="both"/>
      </w:pPr>
      <w:r>
        <w:t xml:space="preserve">European Commision Directorate General Regional Policy (2008) </w:t>
      </w:r>
      <w:r w:rsidRPr="002D5AD8">
        <w:rPr>
          <w:i/>
        </w:rPr>
        <w:t>Guide to cost-benefit analysis of investment projects</w:t>
      </w:r>
      <w:r>
        <w:t>, Brisel</w:t>
      </w:r>
    </w:p>
    <w:p w:rsidR="007A3E3D" w:rsidRDefault="007A3E3D" w:rsidP="00F41E47">
      <w:pPr>
        <w:jc w:val="both"/>
      </w:pPr>
      <w:r>
        <w:t xml:space="preserve">Europska Komisija (2011) </w:t>
      </w:r>
      <w:r w:rsidRPr="002D5AD8">
        <w:rPr>
          <w:i/>
        </w:rPr>
        <w:t>EU Direktiva o procjeni uticaja određenih javnih i privatnih projekata na okoliš</w:t>
      </w:r>
      <w:r>
        <w:t>, broj</w:t>
      </w:r>
      <w:r w:rsidRPr="00770AB1">
        <w:t xml:space="preserve"> 2011/92/EU</w:t>
      </w:r>
      <w:r>
        <w:t xml:space="preserve"> i </w:t>
      </w:r>
      <w:r w:rsidRPr="00770AB1">
        <w:t>2014/52/EU</w:t>
      </w:r>
      <w:r>
        <w:t xml:space="preserve">, </w:t>
      </w:r>
      <w:hyperlink r:id="rId7" w:history="1">
        <w:r w:rsidRPr="000B37F2">
          <w:rPr>
            <w:rStyle w:val="Hyperlink"/>
          </w:rPr>
          <w:t>http://eur-lex.europa.eu/</w:t>
        </w:r>
      </w:hyperlink>
      <w:r>
        <w:t xml:space="preserve"> </w:t>
      </w:r>
    </w:p>
    <w:p w:rsidR="007A3E3D" w:rsidRDefault="007A3E3D" w:rsidP="00F41E47">
      <w:pPr>
        <w:jc w:val="both"/>
      </w:pPr>
      <w:r w:rsidRPr="00BD552D">
        <w:t>EU European Union (2004), Green Paper on public-private partnerships, Brussels: European Commission</w:t>
      </w:r>
    </w:p>
    <w:p w:rsidR="007A3E3D" w:rsidRDefault="007A3E3D" w:rsidP="00F41E47">
      <w:pPr>
        <w:jc w:val="both"/>
      </w:pPr>
      <w:r>
        <w:t xml:space="preserve">Parlament Bosne i Hercegovine (2003) </w:t>
      </w:r>
      <w:r w:rsidRPr="007B1090">
        <w:rPr>
          <w:i/>
        </w:rPr>
        <w:t>Zakon o ravnopravnosti spolova</w:t>
      </w:r>
      <w:r>
        <w:rPr>
          <w:i/>
        </w:rPr>
        <w:t>,</w:t>
      </w:r>
      <w:r w:rsidRPr="007B1090">
        <w:t xml:space="preserve"> Službeni glasnik BiH br. 16/03 </w:t>
      </w:r>
    </w:p>
    <w:p w:rsidR="007A3E3D" w:rsidRDefault="007A3E3D" w:rsidP="00F41E47">
      <w:pPr>
        <w:jc w:val="both"/>
      </w:pPr>
      <w:r>
        <w:t xml:space="preserve">Vlada Republike Srpske (2009) </w:t>
      </w:r>
      <w:r w:rsidRPr="00605576">
        <w:rPr>
          <w:i/>
        </w:rPr>
        <w:t>Javno-privatno partnerstvo u Republici Srpskoj</w:t>
      </w:r>
      <w:r>
        <w:t>, Banja Luka</w:t>
      </w:r>
    </w:p>
    <w:p w:rsidR="007A3E3D" w:rsidRDefault="007A3E3D"/>
    <w:sectPr w:rsidR="007A3E3D" w:rsidSect="00212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E3D" w:rsidRDefault="007A3E3D" w:rsidP="004F22EC">
      <w:pPr>
        <w:spacing w:after="0" w:line="240" w:lineRule="auto"/>
      </w:pPr>
      <w:r>
        <w:separator/>
      </w:r>
    </w:p>
  </w:endnote>
  <w:endnote w:type="continuationSeparator" w:id="0">
    <w:p w:rsidR="007A3E3D" w:rsidRDefault="007A3E3D" w:rsidP="004F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3D" w:rsidRDefault="007A3E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3D" w:rsidRDefault="007A3E3D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7A3E3D" w:rsidRDefault="007A3E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3D" w:rsidRDefault="007A3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E3D" w:rsidRDefault="007A3E3D" w:rsidP="004F22EC">
      <w:pPr>
        <w:spacing w:after="0" w:line="240" w:lineRule="auto"/>
      </w:pPr>
      <w:r>
        <w:separator/>
      </w:r>
    </w:p>
  </w:footnote>
  <w:footnote w:type="continuationSeparator" w:id="0">
    <w:p w:rsidR="007A3E3D" w:rsidRDefault="007A3E3D" w:rsidP="004F22EC">
      <w:pPr>
        <w:spacing w:after="0" w:line="240" w:lineRule="auto"/>
      </w:pPr>
      <w:r>
        <w:continuationSeparator/>
      </w:r>
    </w:p>
  </w:footnote>
  <w:footnote w:id="1">
    <w:p w:rsidR="007A3E3D" w:rsidRDefault="007A3E3D" w:rsidP="00BD552D">
      <w:pPr>
        <w:pStyle w:val="FootnoteText"/>
        <w:jc w:val="both"/>
      </w:pPr>
      <w:r w:rsidRPr="00BD552D">
        <w:rPr>
          <w:rStyle w:val="FootnoteReference"/>
        </w:rPr>
        <w:footnoteRef/>
      </w:r>
      <w:r w:rsidRPr="00BD552D">
        <w:t xml:space="preserve"> Vlada Republike Srpske (2009) </w:t>
      </w:r>
      <w:r w:rsidRPr="00BD552D">
        <w:rPr>
          <w:i/>
        </w:rPr>
        <w:t>Javno-privatno partnerstvo u Republici Srpskoj</w:t>
      </w:r>
      <w:r w:rsidRPr="00BD552D">
        <w:t>, Banja Luka</w:t>
      </w:r>
    </w:p>
  </w:footnote>
  <w:footnote w:id="2">
    <w:p w:rsidR="007A3E3D" w:rsidRDefault="007A3E3D" w:rsidP="00BD552D">
      <w:pPr>
        <w:pStyle w:val="FootnoteText"/>
        <w:jc w:val="both"/>
      </w:pPr>
      <w:r w:rsidRPr="00BD552D">
        <w:rPr>
          <w:rStyle w:val="FootnoteReference"/>
        </w:rPr>
        <w:footnoteRef/>
      </w:r>
      <w:r w:rsidRPr="00BD552D">
        <w:t xml:space="preserve"> European Commision Directorate General Regional Policy (2008) Guide to cost-benefit analysis of investment projects, Brisel; Vlada Republike Srpske (2009) </w:t>
      </w:r>
      <w:r w:rsidRPr="00BD552D">
        <w:rPr>
          <w:i/>
        </w:rPr>
        <w:t>Javno-privatno partnerstvo u Republici Srpskoj</w:t>
      </w:r>
      <w:r w:rsidRPr="00BD552D">
        <w:t>, Banja Luka</w:t>
      </w:r>
    </w:p>
  </w:footnote>
  <w:footnote w:id="3">
    <w:p w:rsidR="007A3E3D" w:rsidRDefault="007A3E3D" w:rsidP="00BD552D">
      <w:pPr>
        <w:pStyle w:val="FootnoteText"/>
        <w:jc w:val="both"/>
      </w:pPr>
      <w:r w:rsidRPr="00BD552D">
        <w:rPr>
          <w:rStyle w:val="FootnoteReference"/>
        </w:rPr>
        <w:footnoteRef/>
      </w:r>
      <w:r w:rsidRPr="00BD552D">
        <w:t xml:space="preserve"> European Commision Directorate General Regional Policy (2008) Guide to cost-benefit analysis of investment projects, Brisel; Vlada Republike Srpske (2009) </w:t>
      </w:r>
      <w:r w:rsidRPr="00BD552D">
        <w:rPr>
          <w:i/>
        </w:rPr>
        <w:t>Javno-privatno partnerstvo u Republici Srpskoj</w:t>
      </w:r>
      <w:r w:rsidRPr="00BD552D">
        <w:t>, Banja Luka</w:t>
      </w:r>
    </w:p>
  </w:footnote>
  <w:footnote w:id="4">
    <w:p w:rsidR="007A3E3D" w:rsidRDefault="007A3E3D" w:rsidP="00BD552D">
      <w:pPr>
        <w:jc w:val="both"/>
      </w:pPr>
      <w:r w:rsidRPr="00BD552D">
        <w:rPr>
          <w:rStyle w:val="FootnoteReference"/>
          <w:sz w:val="20"/>
          <w:szCs w:val="20"/>
        </w:rPr>
        <w:footnoteRef/>
      </w:r>
      <w:r w:rsidRPr="00BD552D">
        <w:rPr>
          <w:sz w:val="20"/>
          <w:szCs w:val="20"/>
        </w:rPr>
        <w:t xml:space="preserve"> Parlament Bosne i Hercegovine (2003) </w:t>
      </w:r>
      <w:r w:rsidRPr="00BD552D">
        <w:rPr>
          <w:i/>
          <w:sz w:val="20"/>
          <w:szCs w:val="20"/>
        </w:rPr>
        <w:t>Zakon o ravnopravnosti spolova,</w:t>
      </w:r>
      <w:r w:rsidRPr="00BD552D">
        <w:rPr>
          <w:sz w:val="20"/>
          <w:szCs w:val="20"/>
        </w:rPr>
        <w:t xml:space="preserve"> Službeni glasnik BiH br. 16/03</w:t>
      </w:r>
    </w:p>
  </w:footnote>
  <w:footnote w:id="5">
    <w:p w:rsidR="007A3E3D" w:rsidRDefault="007A3E3D" w:rsidP="00BD552D">
      <w:pPr>
        <w:pStyle w:val="FootnoteText"/>
        <w:jc w:val="both"/>
      </w:pPr>
      <w:r w:rsidRPr="00BD552D">
        <w:rPr>
          <w:rStyle w:val="FootnoteReference"/>
        </w:rPr>
        <w:footnoteRef/>
      </w:r>
      <w:r w:rsidRPr="00BD552D">
        <w:t xml:space="preserve"> Agencija za javno-privatno partnerstvo Republike Hrvatske (2012), </w:t>
      </w:r>
      <w:r w:rsidRPr="00BD552D">
        <w:rPr>
          <w:i/>
        </w:rPr>
        <w:t xml:space="preserve">Utvrđivanje sposobnosti plaćanja JLPRS u projektima javno-privatnog </w:t>
      </w:r>
      <w:r w:rsidRPr="00BD552D">
        <w:t>partnerstva, Priručnici za pripremu i provedbu modela javno-privatnog partnerstva, Priručnik br. 5, Verzija 1, Zagreb</w:t>
      </w:r>
    </w:p>
  </w:footnote>
  <w:footnote w:id="6">
    <w:p w:rsidR="007A3E3D" w:rsidRDefault="007A3E3D" w:rsidP="00BD552D">
      <w:pPr>
        <w:pStyle w:val="FootnoteText"/>
        <w:jc w:val="both"/>
      </w:pPr>
      <w:r w:rsidRPr="00BD552D">
        <w:rPr>
          <w:rStyle w:val="FootnoteReference"/>
        </w:rPr>
        <w:footnoteRef/>
      </w:r>
      <w:r w:rsidRPr="00BD552D">
        <w:t xml:space="preserve"> European Commision Directorate General Regional Policy (2008) Guide to cost-benefit analysis of investment projects, Brisel; Vlada Republike Srpske (2009) </w:t>
      </w:r>
      <w:r w:rsidRPr="00BD552D">
        <w:rPr>
          <w:i/>
        </w:rPr>
        <w:t>Javno-privatno partnerstvo u Republici Srpskoj</w:t>
      </w:r>
      <w:r w:rsidRPr="00BD552D">
        <w:t>, Banja Luka</w:t>
      </w:r>
    </w:p>
  </w:footnote>
  <w:footnote w:id="7">
    <w:p w:rsidR="007A3E3D" w:rsidRPr="00BD552D" w:rsidRDefault="007A3E3D" w:rsidP="00BD552D">
      <w:pPr>
        <w:jc w:val="both"/>
        <w:rPr>
          <w:sz w:val="20"/>
          <w:szCs w:val="20"/>
        </w:rPr>
      </w:pPr>
      <w:r w:rsidRPr="00BD552D">
        <w:rPr>
          <w:rStyle w:val="FootnoteReference"/>
          <w:sz w:val="20"/>
          <w:szCs w:val="20"/>
        </w:rPr>
        <w:footnoteRef/>
      </w:r>
      <w:r w:rsidRPr="00BD552D">
        <w:rPr>
          <w:sz w:val="20"/>
          <w:szCs w:val="20"/>
        </w:rPr>
        <w:t xml:space="preserve"> Agencija za javno-privatno partnerstvo Republike Hrvatske (2012), </w:t>
      </w:r>
      <w:r w:rsidRPr="00BD552D">
        <w:rPr>
          <w:i/>
          <w:sz w:val="20"/>
          <w:szCs w:val="20"/>
        </w:rPr>
        <w:t>Rizici u projektima javno-privatnog partnerstva (identifikacija, kvantifikacija, alokacija)</w:t>
      </w:r>
      <w:r w:rsidRPr="00BD552D">
        <w:rPr>
          <w:sz w:val="20"/>
          <w:szCs w:val="20"/>
        </w:rPr>
        <w:t xml:space="preserve">, Priručnici za pripremu i provedbu modela javno-privatnog partnerstva, Priručnik br. 8, Verzija 2, Zagreb; EU European Union (2004), </w:t>
      </w:r>
      <w:r w:rsidRPr="00BD552D">
        <w:rPr>
          <w:i/>
          <w:sz w:val="20"/>
          <w:szCs w:val="20"/>
        </w:rPr>
        <w:t>Green Paper on public-private partnerships</w:t>
      </w:r>
      <w:r w:rsidRPr="00BD552D">
        <w:rPr>
          <w:sz w:val="20"/>
          <w:szCs w:val="20"/>
        </w:rPr>
        <w:t>, Brussels: European Commission</w:t>
      </w:r>
    </w:p>
    <w:p w:rsidR="007A3E3D" w:rsidRDefault="007A3E3D" w:rsidP="00BD552D">
      <w:pPr>
        <w:jc w:val="both"/>
      </w:pPr>
    </w:p>
  </w:footnote>
  <w:footnote w:id="8">
    <w:p w:rsidR="007A3E3D" w:rsidRDefault="007A3E3D" w:rsidP="00BD552D">
      <w:pPr>
        <w:pStyle w:val="FootnoteText"/>
        <w:jc w:val="both"/>
      </w:pPr>
      <w:r w:rsidRPr="00BD552D">
        <w:rPr>
          <w:rStyle w:val="FootnoteReference"/>
        </w:rPr>
        <w:footnoteRef/>
      </w:r>
      <w:r w:rsidRPr="00BD552D">
        <w:t xml:space="preserve"> Europska Komisija (2011) EU Direktiva o procjeni uticaja određenih javnih i privatnih projekata na okoliš, broj 2011/92/EU i 2014/52/EU, </w:t>
      </w:r>
      <w:hyperlink r:id="rId1" w:history="1">
        <w:r w:rsidRPr="00BD552D">
          <w:rPr>
            <w:rStyle w:val="Hyperlink"/>
          </w:rPr>
          <w:t>http://eur-lex.europa.eu/legal-content/EN/TXT/?uri=CELEX:32014L0052</w:t>
        </w:r>
      </w:hyperlink>
      <w:r w:rsidRPr="00BD552D">
        <w:t xml:space="preserve">; Vlada Republike Srpske (2009) </w:t>
      </w:r>
      <w:r w:rsidRPr="00BD552D">
        <w:rPr>
          <w:i/>
        </w:rPr>
        <w:t>Javno-privatno partnerstvo u Republici Srpskoj</w:t>
      </w:r>
      <w:r w:rsidRPr="00BD552D">
        <w:t xml:space="preserve">, Banja Luka </w:t>
      </w:r>
    </w:p>
  </w:footnote>
  <w:footnote w:id="9">
    <w:p w:rsidR="007A3E3D" w:rsidRDefault="007A3E3D" w:rsidP="00BD552D">
      <w:pPr>
        <w:pStyle w:val="FootnoteText"/>
        <w:jc w:val="both"/>
      </w:pPr>
      <w:r w:rsidRPr="00BD552D">
        <w:rPr>
          <w:rStyle w:val="FootnoteReference"/>
        </w:rPr>
        <w:footnoteRef/>
      </w:r>
      <w:r w:rsidRPr="00BD552D">
        <w:t xml:space="preserve"> Vlada Republike Srpske (2009) </w:t>
      </w:r>
      <w:r w:rsidRPr="00BD552D">
        <w:rPr>
          <w:i/>
        </w:rPr>
        <w:t>Javno-privatno partnerstvo u Republici Srpskoj</w:t>
      </w:r>
      <w:r w:rsidRPr="00BD552D">
        <w:t>, Banja Luka</w:t>
      </w:r>
    </w:p>
  </w:footnote>
  <w:footnote w:id="10">
    <w:p w:rsidR="007A3E3D" w:rsidRDefault="007A3E3D" w:rsidP="00BD552D">
      <w:pPr>
        <w:pStyle w:val="FootnoteText"/>
        <w:jc w:val="both"/>
      </w:pPr>
      <w:r w:rsidRPr="00BD552D">
        <w:rPr>
          <w:rStyle w:val="FootnoteReference"/>
        </w:rPr>
        <w:footnoteRef/>
      </w:r>
      <w:r w:rsidRPr="00BD552D">
        <w:t xml:space="preserve"> Agencija za javno-privatno partnerstvo Republike Hrvatske (2012), </w:t>
      </w:r>
      <w:r w:rsidRPr="00BD552D">
        <w:rPr>
          <w:i/>
        </w:rPr>
        <w:t>Komparator troškova javnog sektora</w:t>
      </w:r>
      <w:r w:rsidRPr="00BD552D">
        <w:t xml:space="preserve">, Priručnici za pripremu i provedbu modela javno-privatnog partnerstva, Priručnik br. 3, Verzija 1, Zagreb; Burnett, M. (2007) </w:t>
      </w:r>
      <w:r w:rsidRPr="00BD552D">
        <w:rPr>
          <w:i/>
        </w:rPr>
        <w:t>Public-Private Partnerships (PPP): A Decision Maker's Guide</w:t>
      </w:r>
      <w:r w:rsidRPr="00BD552D">
        <w:t xml:space="preserve">, Maastricht: </w:t>
      </w:r>
      <w:r w:rsidRPr="00BD552D">
        <w:rPr>
          <w:i/>
        </w:rPr>
        <w:t>European Institute of Public Administration</w:t>
      </w:r>
      <w:r>
        <w:rPr>
          <w:i/>
        </w:rPr>
        <w:t xml:space="preserve">; </w:t>
      </w:r>
      <w:r w:rsidRPr="00BD552D">
        <w:t xml:space="preserve">EU European Union (2004), </w:t>
      </w:r>
      <w:r w:rsidRPr="00BD552D">
        <w:rPr>
          <w:i/>
        </w:rPr>
        <w:t>Green Paper on public-private partnerships</w:t>
      </w:r>
      <w:r w:rsidRPr="00BD552D">
        <w:t>, Brussels: European Commission</w:t>
      </w:r>
    </w:p>
  </w:footnote>
  <w:footnote w:id="11">
    <w:p w:rsidR="007A3E3D" w:rsidRDefault="007A3E3D" w:rsidP="00BD552D">
      <w:pPr>
        <w:pStyle w:val="FootnoteText"/>
        <w:jc w:val="both"/>
      </w:pPr>
      <w:r w:rsidRPr="00BD552D">
        <w:rPr>
          <w:rStyle w:val="FootnoteReference"/>
        </w:rPr>
        <w:footnoteRef/>
      </w:r>
      <w:r w:rsidRPr="00BD552D">
        <w:t xml:space="preserve"> Vlada Republike Srpske (2009) </w:t>
      </w:r>
      <w:r w:rsidRPr="00BD552D">
        <w:rPr>
          <w:i/>
        </w:rPr>
        <w:t>Javno-privatno partnerstvo u Republici Srpskoj</w:t>
      </w:r>
      <w:r w:rsidRPr="00BD552D">
        <w:t>, Banja Luka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3D" w:rsidRDefault="007A3E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3D" w:rsidRDefault="007A3E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3D" w:rsidRDefault="007A3E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35AD"/>
    <w:multiLevelType w:val="hybridMultilevel"/>
    <w:tmpl w:val="E5A8F22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8C07E7"/>
    <w:multiLevelType w:val="hybridMultilevel"/>
    <w:tmpl w:val="0ABAFC4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B2294C"/>
    <w:multiLevelType w:val="hybridMultilevel"/>
    <w:tmpl w:val="EB9A18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62E26"/>
    <w:multiLevelType w:val="hybridMultilevel"/>
    <w:tmpl w:val="D73810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6E5A35"/>
    <w:multiLevelType w:val="hybridMultilevel"/>
    <w:tmpl w:val="BB9CCAA8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F13D3B"/>
    <w:multiLevelType w:val="hybridMultilevel"/>
    <w:tmpl w:val="2CC4B7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3E79B7"/>
    <w:multiLevelType w:val="hybridMultilevel"/>
    <w:tmpl w:val="74F44350"/>
    <w:lvl w:ilvl="0" w:tplc="BF0A9A6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013CD1"/>
    <w:multiLevelType w:val="hybridMultilevel"/>
    <w:tmpl w:val="AAD430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EC3547"/>
    <w:multiLevelType w:val="hybridMultilevel"/>
    <w:tmpl w:val="A17EE46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DAA50FD"/>
    <w:multiLevelType w:val="hybridMultilevel"/>
    <w:tmpl w:val="B1323F02"/>
    <w:lvl w:ilvl="0" w:tplc="BF0A9A6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F6364D"/>
    <w:multiLevelType w:val="hybridMultilevel"/>
    <w:tmpl w:val="BDD0744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BC08EB"/>
    <w:multiLevelType w:val="hybridMultilevel"/>
    <w:tmpl w:val="BCE8877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B6D5D"/>
    <w:multiLevelType w:val="hybridMultilevel"/>
    <w:tmpl w:val="4550A032"/>
    <w:lvl w:ilvl="0" w:tplc="5C12869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A44F47"/>
    <w:multiLevelType w:val="hybridMultilevel"/>
    <w:tmpl w:val="C3E603D4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6203EF"/>
    <w:multiLevelType w:val="hybridMultilevel"/>
    <w:tmpl w:val="306AAE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2F58EB"/>
    <w:multiLevelType w:val="hybridMultilevel"/>
    <w:tmpl w:val="680AB0C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F03973"/>
    <w:multiLevelType w:val="hybridMultilevel"/>
    <w:tmpl w:val="E5383F3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CC2B82"/>
    <w:multiLevelType w:val="hybridMultilevel"/>
    <w:tmpl w:val="3FD6872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BD35EF"/>
    <w:multiLevelType w:val="hybridMultilevel"/>
    <w:tmpl w:val="7FB251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5F4133"/>
    <w:multiLevelType w:val="hybridMultilevel"/>
    <w:tmpl w:val="3D622CE4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C5A1B"/>
    <w:multiLevelType w:val="hybridMultilevel"/>
    <w:tmpl w:val="FDC64C3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170280"/>
    <w:multiLevelType w:val="hybridMultilevel"/>
    <w:tmpl w:val="4456ED3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D033DA"/>
    <w:multiLevelType w:val="hybridMultilevel"/>
    <w:tmpl w:val="F9A6FEBC"/>
    <w:lvl w:ilvl="0" w:tplc="F38601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75651"/>
    <w:multiLevelType w:val="hybridMultilevel"/>
    <w:tmpl w:val="C3E603D4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92181A"/>
    <w:multiLevelType w:val="hybridMultilevel"/>
    <w:tmpl w:val="C3E603D4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C528F6"/>
    <w:multiLevelType w:val="hybridMultilevel"/>
    <w:tmpl w:val="15B4DE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24"/>
  </w:num>
  <w:num w:numId="4">
    <w:abstractNumId w:val="4"/>
  </w:num>
  <w:num w:numId="5">
    <w:abstractNumId w:val="11"/>
  </w:num>
  <w:num w:numId="6">
    <w:abstractNumId w:val="19"/>
  </w:num>
  <w:num w:numId="7">
    <w:abstractNumId w:val="9"/>
  </w:num>
  <w:num w:numId="8">
    <w:abstractNumId w:val="14"/>
  </w:num>
  <w:num w:numId="9">
    <w:abstractNumId w:val="15"/>
  </w:num>
  <w:num w:numId="10">
    <w:abstractNumId w:val="23"/>
  </w:num>
  <w:num w:numId="11">
    <w:abstractNumId w:val="13"/>
  </w:num>
  <w:num w:numId="12">
    <w:abstractNumId w:val="18"/>
  </w:num>
  <w:num w:numId="13">
    <w:abstractNumId w:val="16"/>
  </w:num>
  <w:num w:numId="14">
    <w:abstractNumId w:val="10"/>
  </w:num>
  <w:num w:numId="15">
    <w:abstractNumId w:val="22"/>
  </w:num>
  <w:num w:numId="16">
    <w:abstractNumId w:val="25"/>
  </w:num>
  <w:num w:numId="17">
    <w:abstractNumId w:val="17"/>
  </w:num>
  <w:num w:numId="18">
    <w:abstractNumId w:val="5"/>
  </w:num>
  <w:num w:numId="19">
    <w:abstractNumId w:val="20"/>
  </w:num>
  <w:num w:numId="20">
    <w:abstractNumId w:val="3"/>
  </w:num>
  <w:num w:numId="21">
    <w:abstractNumId w:val="1"/>
  </w:num>
  <w:num w:numId="22">
    <w:abstractNumId w:val="6"/>
  </w:num>
  <w:num w:numId="23">
    <w:abstractNumId w:val="21"/>
  </w:num>
  <w:num w:numId="24">
    <w:abstractNumId w:val="8"/>
  </w:num>
  <w:num w:numId="25">
    <w:abstractNumId w:val="2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A2C"/>
    <w:rsid w:val="0001193C"/>
    <w:rsid w:val="00023005"/>
    <w:rsid w:val="00072D44"/>
    <w:rsid w:val="0007341E"/>
    <w:rsid w:val="00093EB2"/>
    <w:rsid w:val="000B37F2"/>
    <w:rsid w:val="000E3D2E"/>
    <w:rsid w:val="00107A2C"/>
    <w:rsid w:val="00114692"/>
    <w:rsid w:val="00141CA2"/>
    <w:rsid w:val="00146B4A"/>
    <w:rsid w:val="00157A68"/>
    <w:rsid w:val="00176F29"/>
    <w:rsid w:val="00191D27"/>
    <w:rsid w:val="001A11EB"/>
    <w:rsid w:val="001A6624"/>
    <w:rsid w:val="001B79F0"/>
    <w:rsid w:val="00204044"/>
    <w:rsid w:val="00212299"/>
    <w:rsid w:val="0021598E"/>
    <w:rsid w:val="002209F0"/>
    <w:rsid w:val="00225688"/>
    <w:rsid w:val="0024422E"/>
    <w:rsid w:val="002A1666"/>
    <w:rsid w:val="002D3291"/>
    <w:rsid w:val="002D5AD8"/>
    <w:rsid w:val="002D66FD"/>
    <w:rsid w:val="00301330"/>
    <w:rsid w:val="003242AA"/>
    <w:rsid w:val="003321C7"/>
    <w:rsid w:val="0036251B"/>
    <w:rsid w:val="0036431F"/>
    <w:rsid w:val="00366081"/>
    <w:rsid w:val="00376F33"/>
    <w:rsid w:val="00382631"/>
    <w:rsid w:val="00391845"/>
    <w:rsid w:val="003A740E"/>
    <w:rsid w:val="003F1163"/>
    <w:rsid w:val="00406A0E"/>
    <w:rsid w:val="00427406"/>
    <w:rsid w:val="004400F7"/>
    <w:rsid w:val="0047561B"/>
    <w:rsid w:val="0048086A"/>
    <w:rsid w:val="004C136B"/>
    <w:rsid w:val="004E708B"/>
    <w:rsid w:val="004F22EC"/>
    <w:rsid w:val="005425A7"/>
    <w:rsid w:val="00550379"/>
    <w:rsid w:val="00560A74"/>
    <w:rsid w:val="005A3A3C"/>
    <w:rsid w:val="005B0434"/>
    <w:rsid w:val="005D23AF"/>
    <w:rsid w:val="00602676"/>
    <w:rsid w:val="00605576"/>
    <w:rsid w:val="006336A7"/>
    <w:rsid w:val="006552E8"/>
    <w:rsid w:val="00672996"/>
    <w:rsid w:val="00690FBB"/>
    <w:rsid w:val="006A1CBB"/>
    <w:rsid w:val="00706E0B"/>
    <w:rsid w:val="007152F2"/>
    <w:rsid w:val="007212F5"/>
    <w:rsid w:val="00745F15"/>
    <w:rsid w:val="00746752"/>
    <w:rsid w:val="00770AB1"/>
    <w:rsid w:val="007807A9"/>
    <w:rsid w:val="007975B6"/>
    <w:rsid w:val="007A3E3D"/>
    <w:rsid w:val="007A5D9A"/>
    <w:rsid w:val="007B1090"/>
    <w:rsid w:val="007C1865"/>
    <w:rsid w:val="007D70DC"/>
    <w:rsid w:val="00810D41"/>
    <w:rsid w:val="008117ED"/>
    <w:rsid w:val="0081285A"/>
    <w:rsid w:val="00866BDF"/>
    <w:rsid w:val="00882716"/>
    <w:rsid w:val="008A223C"/>
    <w:rsid w:val="008A6961"/>
    <w:rsid w:val="008B5A81"/>
    <w:rsid w:val="008E658F"/>
    <w:rsid w:val="008E6DF8"/>
    <w:rsid w:val="00941057"/>
    <w:rsid w:val="00961B0C"/>
    <w:rsid w:val="00971615"/>
    <w:rsid w:val="0098389C"/>
    <w:rsid w:val="009968A8"/>
    <w:rsid w:val="009C1835"/>
    <w:rsid w:val="009D7C7B"/>
    <w:rsid w:val="00A046AD"/>
    <w:rsid w:val="00A13531"/>
    <w:rsid w:val="00A205D4"/>
    <w:rsid w:val="00A35438"/>
    <w:rsid w:val="00A41988"/>
    <w:rsid w:val="00A43477"/>
    <w:rsid w:val="00A5285E"/>
    <w:rsid w:val="00A92B17"/>
    <w:rsid w:val="00AA6571"/>
    <w:rsid w:val="00B5775F"/>
    <w:rsid w:val="00B7660E"/>
    <w:rsid w:val="00B92198"/>
    <w:rsid w:val="00B978A2"/>
    <w:rsid w:val="00BA216C"/>
    <w:rsid w:val="00BD1548"/>
    <w:rsid w:val="00BD552D"/>
    <w:rsid w:val="00BF2028"/>
    <w:rsid w:val="00C064A1"/>
    <w:rsid w:val="00C75B06"/>
    <w:rsid w:val="00C75D4C"/>
    <w:rsid w:val="00CB58BA"/>
    <w:rsid w:val="00D63615"/>
    <w:rsid w:val="00D70D77"/>
    <w:rsid w:val="00DC00E1"/>
    <w:rsid w:val="00DC52D3"/>
    <w:rsid w:val="00DF0A20"/>
    <w:rsid w:val="00DF528E"/>
    <w:rsid w:val="00E122A5"/>
    <w:rsid w:val="00E17A74"/>
    <w:rsid w:val="00E36B93"/>
    <w:rsid w:val="00E75044"/>
    <w:rsid w:val="00E776ED"/>
    <w:rsid w:val="00E83AB9"/>
    <w:rsid w:val="00E94F1C"/>
    <w:rsid w:val="00E971B3"/>
    <w:rsid w:val="00EB7151"/>
    <w:rsid w:val="00EF72EB"/>
    <w:rsid w:val="00F41E47"/>
    <w:rsid w:val="00F77893"/>
    <w:rsid w:val="00F82832"/>
    <w:rsid w:val="00FC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99"/>
    <w:pPr>
      <w:spacing w:after="160" w:line="259" w:lineRule="auto"/>
    </w:pPr>
    <w:rPr>
      <w:lang w:val="bs-Latn-B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22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F22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2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22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2EC"/>
    <w:rPr>
      <w:rFonts w:cs="Times New Roman"/>
    </w:rPr>
  </w:style>
  <w:style w:type="paragraph" w:styleId="ListParagraph">
    <w:name w:val="List Paragraph"/>
    <w:basedOn w:val="Normal"/>
    <w:uiPriority w:val="99"/>
    <w:qFormat/>
    <w:rsid w:val="0098389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1A11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A11E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A11EB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DF0A20"/>
    <w:rPr>
      <w:rFonts w:cs="Times New Roman"/>
    </w:rPr>
  </w:style>
  <w:style w:type="character" w:styleId="Hyperlink">
    <w:name w:val="Hyperlink"/>
    <w:basedOn w:val="DefaultParagraphFont"/>
    <w:uiPriority w:val="99"/>
    <w:rsid w:val="00770AB1"/>
    <w:rPr>
      <w:rFonts w:cs="Times New Roman"/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745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45F15"/>
    <w:rPr>
      <w:rFonts w:ascii="Courier New" w:hAnsi="Courier New" w:cs="Courier New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2256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5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2568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5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256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2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5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EN/TXT/?uri=CELEX:32014L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6</Pages>
  <Words>1931</Words>
  <Characters>11007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6</dc:title>
  <dc:subject/>
  <dc:creator>Maja Dragnic</dc:creator>
  <cp:keywords/>
  <dc:description/>
  <cp:lastModifiedBy>dzenita.hrgic</cp:lastModifiedBy>
  <cp:revision>2</cp:revision>
  <dcterms:created xsi:type="dcterms:W3CDTF">2017-03-17T09:07:00Z</dcterms:created>
  <dcterms:modified xsi:type="dcterms:W3CDTF">2017-03-17T09:07:00Z</dcterms:modified>
</cp:coreProperties>
</file>